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Pr>
          <w:rFonts w:ascii="Times New Roman" w:hAnsi="Times New Roman"/>
          <w:b/>
          <w:bCs/>
          <w:color w:val="333333"/>
          <w:sz w:val="28"/>
          <w:szCs w:val="28"/>
          <w:lang w:eastAsia="ru-RU"/>
        </w:rPr>
        <w:t xml:space="preserve">                                                      </w:t>
      </w:r>
      <w:r w:rsidRPr="00C12E3B">
        <w:rPr>
          <w:rFonts w:ascii="Times New Roman" w:hAnsi="Times New Roman"/>
          <w:b/>
          <w:bCs/>
          <w:color w:val="333333"/>
          <w:sz w:val="28"/>
          <w:szCs w:val="28"/>
          <w:lang w:eastAsia="ru-RU"/>
        </w:rPr>
        <w:t>Информация</w:t>
      </w:r>
      <w:r w:rsidRPr="00C12E3B">
        <w:rPr>
          <w:rFonts w:ascii="Times New Roman" w:hAnsi="Times New Roman"/>
          <w:b/>
          <w:bCs/>
          <w:color w:val="333333"/>
          <w:sz w:val="28"/>
          <w:szCs w:val="28"/>
          <w:lang w:eastAsia="ru-RU"/>
        </w:rPr>
        <w:br/>
        <w:t>о законодательстве в области охраны окружающей среды, охраны земли и недр, охраны вод и атмосферного воздуха, охраны и использования животного мира, в области экологической безопасности, о состоянии окружающей среды и об использовании природных ресурсов на территории МО СП «Визиндор».</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со статьей 42 Конституции РФ закреплено право каждого гражданина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Федеральным законом от 10 января 2002 года № 7-ФЗ «Об охране окружающей среды» в качестве одного из основных принципов охраны окружающей среды провозглашается соблюдение права каждого на получение достоверной информации о состоянии окружающей среды (ст. 3) и закрепляется право граждан направлять обращения в органы государственной власти Российской Федерации, органы государственной власти субъектов Российской Федерации, органы местного самоуправления, иные организации и должностным лицам о получении своевременной, полной и достоверной информации о состоянии окружающей среды в местах своего проживания и мерах по ее охране (ст. 11).</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соответствии со статьей 7 Закона РФ от 21 июля </w:t>
      </w:r>
      <w:smartTag w:uri="urn:schemas-microsoft-com:office:smarttags" w:element="metricconverter">
        <w:smartTagPr>
          <w:attr w:name="ProductID" w:val="1993 г"/>
        </w:smartTagPr>
        <w:r w:rsidRPr="00C12E3B">
          <w:rPr>
            <w:rFonts w:ascii="Times New Roman" w:hAnsi="Times New Roman"/>
            <w:color w:val="333333"/>
            <w:sz w:val="28"/>
            <w:szCs w:val="28"/>
            <w:lang w:eastAsia="ru-RU"/>
          </w:rPr>
          <w:t>1993 г</w:t>
        </w:r>
      </w:smartTag>
      <w:r w:rsidRPr="00C12E3B">
        <w:rPr>
          <w:rFonts w:ascii="Times New Roman" w:hAnsi="Times New Roman"/>
          <w:color w:val="333333"/>
          <w:sz w:val="28"/>
          <w:szCs w:val="28"/>
          <w:lang w:eastAsia="ru-RU"/>
        </w:rPr>
        <w:t>. № 5485-1 «О государственной тайне» записано, что не могут быть отнесены к государственной тайне и засекречены сведения: о чрезвычайных происшествиях и катастрофах, угрожающих безопасности и здоровью граждан, и их последствиях, а также о стихийных бедствиях, их официальных прогнозах и последствиях; о состоянии экологии, здравоохранения, санитарии.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условиях сложной экологической обстановки в стране и мире проблемы экологического просвещения населения в течение долгого времени неизменно находятся в центре внимания.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своей работе Администрация сельского поселения Вотча старается привлечь внимание местного сообщества к экологическим проблемам поселения, района и региона в целом, обеспечить доступность экологической информации для населения, принимает активное участие в формировании экологической культуры, проводит субботники, акции по санитарной очистке территории поселения, посадке деревьев и цветов. Также жители сельского поселения Вотча могут обратиться в интернет-приемную Администрации и сообщить об экологических нарушениях.</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со статьей 8 Федерального закона «Об отходах производства и потребления» от 24.06.1998г. № 89-ФЗ к полномочиям органов местного самоуправления в области обращения с твердыми коммунальными отходами (ТКО) отнесена также и организация экологического воспитания и формирования экологической культуры в области обращения с твердыми коммунальными отходами.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изменениями, внесенными в 89-ФЗ с 01.01.2019г., процессом сбора, хранения и утилизации ТБО могут заниматься только специально уполномоченные организации, поменялась система сбора платежей, введена процедура сортировки мусора. Цель реформы — охрана окружающей среды путём снижения выбросов токсичных веществ в воздух и почву в результате ненадлежащего сбора и утилизации отходов.</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Изменениями в 89-ФЗ также введе</w:t>
      </w:r>
      <w:bookmarkStart w:id="0" w:name="_GoBack"/>
      <w:bookmarkEnd w:id="0"/>
      <w:r w:rsidRPr="00C12E3B">
        <w:rPr>
          <w:rFonts w:ascii="Times New Roman" w:hAnsi="Times New Roman"/>
          <w:color w:val="333333"/>
          <w:sz w:val="28"/>
          <w:szCs w:val="28"/>
          <w:lang w:eastAsia="ru-RU"/>
        </w:rPr>
        <w:t>ны понятия: ТБО (твёрдые бытовые отходы) и ТКО (твёрдые коммунальные отходы).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1. ТБО — это отходы, образующиеся от повседневной жизнедеятельности человека:</w:t>
      </w:r>
    </w:p>
    <w:p w:rsidR="0067110F" w:rsidRPr="00C12E3B" w:rsidRDefault="0067110F" w:rsidP="00C12E3B">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Продукты питания, пришедшие в негодность;</w:t>
      </w:r>
    </w:p>
    <w:p w:rsidR="0067110F" w:rsidRPr="00C12E3B" w:rsidRDefault="0067110F" w:rsidP="00C12E3B">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Макулатура (бумага и картон);</w:t>
      </w:r>
    </w:p>
    <w:p w:rsidR="0067110F" w:rsidRPr="00C12E3B" w:rsidRDefault="0067110F" w:rsidP="00C12E3B">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Пластик и полимеры (упаковка, пришедшие в негодность бытовые вещи);</w:t>
      </w:r>
    </w:p>
    <w:p w:rsidR="0067110F" w:rsidRPr="00C12E3B" w:rsidRDefault="0067110F" w:rsidP="00C12E3B">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Стеклотара и стеклобой;</w:t>
      </w:r>
    </w:p>
    <w:p w:rsidR="0067110F" w:rsidRPr="00C12E3B" w:rsidRDefault="0067110F" w:rsidP="00C12E3B">
      <w:pPr>
        <w:numPr>
          <w:ilvl w:val="0"/>
          <w:numId w:val="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Металлолом.</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2. ТКО — это отходы из жилых помещений, образующиеся в результате процесса потребления их жильцами:</w:t>
      </w:r>
    </w:p>
    <w:p w:rsidR="0067110F" w:rsidRPr="00C12E3B" w:rsidRDefault="0067110F" w:rsidP="00C12E3B">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Отходы от уборки или ремонта;</w:t>
      </w:r>
    </w:p>
    <w:p w:rsidR="0067110F" w:rsidRPr="00C12E3B" w:rsidRDefault="0067110F" w:rsidP="00C12E3B">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Пришедшая в негодность техника или мебель;</w:t>
      </w:r>
    </w:p>
    <w:p w:rsidR="0067110F" w:rsidRPr="00C12E3B" w:rsidRDefault="0067110F" w:rsidP="00C12E3B">
      <w:pPr>
        <w:numPr>
          <w:ilvl w:val="0"/>
          <w:numId w:val="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Растительные отходы (трава, листва, ветки деревьев).</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b/>
          <w:bCs/>
          <w:color w:val="333333"/>
          <w:sz w:val="28"/>
          <w:szCs w:val="28"/>
          <w:lang w:eastAsia="ru-RU"/>
        </w:rPr>
        <w:t>Интернет-ресурсы экологической направленности</w:t>
      </w:r>
    </w:p>
    <w:p w:rsidR="0067110F" w:rsidRPr="00C12E3B" w:rsidRDefault="0067110F" w:rsidP="00C12E3B">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Министерство природных ресурсов России </w:t>
      </w:r>
      <w:r w:rsidRPr="00C12E3B">
        <w:rPr>
          <w:rFonts w:ascii="Times New Roman" w:hAnsi="Times New Roman"/>
          <w:color w:val="333333"/>
          <w:sz w:val="28"/>
          <w:szCs w:val="28"/>
          <w:u w:val="single"/>
          <w:lang w:eastAsia="ru-RU"/>
        </w:rPr>
        <w:t>http://www.mnr.gov.ru/</w:t>
      </w:r>
    </w:p>
    <w:p w:rsidR="0067110F" w:rsidRPr="00C12E3B" w:rsidRDefault="0067110F" w:rsidP="00C12E3B">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Гринпис России </w:t>
      </w:r>
      <w:r w:rsidRPr="00C12E3B">
        <w:rPr>
          <w:rFonts w:ascii="Times New Roman" w:hAnsi="Times New Roman"/>
          <w:color w:val="333333"/>
          <w:sz w:val="28"/>
          <w:szCs w:val="28"/>
          <w:u w:val="single"/>
          <w:lang w:eastAsia="ru-RU"/>
        </w:rPr>
        <w:t>http://www.greenpeace.org/russia/ru/</w:t>
      </w:r>
    </w:p>
    <w:p w:rsidR="0067110F" w:rsidRPr="00C12E3B" w:rsidRDefault="0067110F" w:rsidP="00C12E3B">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Ecocom — всё об экологии </w:t>
      </w:r>
      <w:r w:rsidRPr="00C12E3B">
        <w:rPr>
          <w:rFonts w:ascii="Times New Roman" w:hAnsi="Times New Roman"/>
          <w:color w:val="333333"/>
          <w:sz w:val="28"/>
          <w:szCs w:val="28"/>
          <w:u w:val="single"/>
          <w:lang w:eastAsia="ru-RU"/>
        </w:rPr>
        <w:t>http://www.ecocommunity.ru/</w:t>
      </w:r>
    </w:p>
    <w:p w:rsidR="0067110F" w:rsidRPr="00C12E3B" w:rsidRDefault="0067110F" w:rsidP="00C12E3B">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su – «Сохраним планету» </w:t>
      </w:r>
      <w:r w:rsidRPr="00C12E3B">
        <w:rPr>
          <w:rFonts w:ascii="Times New Roman" w:hAnsi="Times New Roman"/>
          <w:color w:val="333333"/>
          <w:sz w:val="28"/>
          <w:szCs w:val="28"/>
          <w:u w:val="single"/>
          <w:lang w:eastAsia="ru-RU"/>
        </w:rPr>
        <w:t>http://www.saveplanet.su/</w:t>
      </w:r>
    </w:p>
    <w:p w:rsidR="0067110F" w:rsidRPr="00C12E3B" w:rsidRDefault="0067110F" w:rsidP="00C12E3B">
      <w:pPr>
        <w:numPr>
          <w:ilvl w:val="0"/>
          <w:numId w:val="3"/>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Всемирный фонд дикой природы (WWF) </w:t>
      </w:r>
      <w:r w:rsidRPr="00C12E3B">
        <w:rPr>
          <w:rFonts w:ascii="Times New Roman" w:hAnsi="Times New Roman"/>
          <w:color w:val="333333"/>
          <w:sz w:val="28"/>
          <w:szCs w:val="28"/>
          <w:u w:val="single"/>
          <w:lang w:eastAsia="ru-RU"/>
        </w:rPr>
        <w:t>http://wwf.panda.org/</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b/>
          <w:bCs/>
          <w:color w:val="333333"/>
          <w:sz w:val="28"/>
          <w:szCs w:val="28"/>
          <w:lang w:eastAsia="ru-RU"/>
        </w:rPr>
        <w:t>Система охраны природы в Российской Федерации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систему правовой охраны природы России входят четыре группы юридических мероприятий:</w:t>
      </w:r>
    </w:p>
    <w:p w:rsidR="0067110F" w:rsidRPr="00C12E3B" w:rsidRDefault="0067110F" w:rsidP="00C12E3B">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правовое регулирование отношений по использованию, сохранению и возобновлению природных ресурсов;</w:t>
      </w:r>
    </w:p>
    <w:p w:rsidR="0067110F" w:rsidRPr="00C12E3B" w:rsidRDefault="0067110F" w:rsidP="00C12E3B">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организация воспитания и обучения кадров, финансирование и материально-техническое обеспечение природоохранных действий;</w:t>
      </w:r>
    </w:p>
    <w:p w:rsidR="0067110F" w:rsidRPr="00C12E3B" w:rsidRDefault="0067110F" w:rsidP="00C12E3B">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государственный и общественный контроль за выполнением требований охраны природы;</w:t>
      </w:r>
    </w:p>
    <w:p w:rsidR="0067110F" w:rsidRPr="00C12E3B" w:rsidRDefault="0067110F" w:rsidP="00C12E3B">
      <w:pPr>
        <w:numPr>
          <w:ilvl w:val="0"/>
          <w:numId w:val="4"/>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юридическая ответственность правонарушителей.</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соответствии с экологическим законодательством объектом правовой охраны выступает природная среда — объективная, существующая вне человека и независимо от его сознания реальность, служащая местом обитания, условием и средством его существования.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Источниками экологического права признаются нормативно-правовые акты, в которых содержатся правовые нормы, регулирующие экологические отношения. К ним относятся законы, указы, постановления и распоряжения, нормативные акты министерств и ведомств, законы и нормативно-правовые акты субъектов Федерации. В числе источников экологического права большое место занимают международно-правовые акты, регулирующие внутренние экологические отношения.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результате последней кодификации сложилась система экологического законодательства, в основе которой находятся три основополагающих нормативных акта: Декларация Первого съезда народных депутатов РСФСР о государственном суверенитете Российской Советской Федеративной Социалистической Республики (</w:t>
      </w:r>
      <w:smartTag w:uri="urn:schemas-microsoft-com:office:smarttags" w:element="metricconverter">
        <w:smartTagPr>
          <w:attr w:name="ProductID" w:val="1990 г"/>
        </w:smartTagPr>
        <w:r w:rsidRPr="00C12E3B">
          <w:rPr>
            <w:rFonts w:ascii="Times New Roman" w:hAnsi="Times New Roman"/>
            <w:color w:val="333333"/>
            <w:sz w:val="28"/>
            <w:szCs w:val="28"/>
            <w:lang w:eastAsia="ru-RU"/>
          </w:rPr>
          <w:t>1990 г</w:t>
        </w:r>
      </w:smartTag>
      <w:r w:rsidRPr="00C12E3B">
        <w:rPr>
          <w:rFonts w:ascii="Times New Roman" w:hAnsi="Times New Roman"/>
          <w:color w:val="333333"/>
          <w:sz w:val="28"/>
          <w:szCs w:val="28"/>
          <w:lang w:eastAsia="ru-RU"/>
        </w:rPr>
        <w:t>.), Декларация прав и свобод человека и гражданина (</w:t>
      </w:r>
      <w:smartTag w:uri="urn:schemas-microsoft-com:office:smarttags" w:element="metricconverter">
        <w:smartTagPr>
          <w:attr w:name="ProductID" w:val="1991 г"/>
        </w:smartTagPr>
        <w:r w:rsidRPr="00C12E3B">
          <w:rPr>
            <w:rFonts w:ascii="Times New Roman" w:hAnsi="Times New Roman"/>
            <w:color w:val="333333"/>
            <w:sz w:val="28"/>
            <w:szCs w:val="28"/>
            <w:lang w:eastAsia="ru-RU"/>
          </w:rPr>
          <w:t>1991 г</w:t>
        </w:r>
      </w:smartTag>
      <w:r w:rsidRPr="00C12E3B">
        <w:rPr>
          <w:rFonts w:ascii="Times New Roman" w:hAnsi="Times New Roman"/>
          <w:color w:val="333333"/>
          <w:sz w:val="28"/>
          <w:szCs w:val="28"/>
          <w:lang w:eastAsia="ru-RU"/>
        </w:rPr>
        <w:t xml:space="preserve">.) и Конституция Российской Федерации, принятая в результате всенародного голосования 12 декабря </w:t>
      </w:r>
      <w:smartTag w:uri="urn:schemas-microsoft-com:office:smarttags" w:element="metricconverter">
        <w:smartTagPr>
          <w:attr w:name="ProductID" w:val="1993 г"/>
        </w:smartTagPr>
        <w:r w:rsidRPr="00C12E3B">
          <w:rPr>
            <w:rFonts w:ascii="Times New Roman" w:hAnsi="Times New Roman"/>
            <w:color w:val="333333"/>
            <w:sz w:val="28"/>
            <w:szCs w:val="28"/>
            <w:lang w:eastAsia="ru-RU"/>
          </w:rPr>
          <w:t>1993 г</w:t>
        </w:r>
      </w:smartTag>
      <w:r w:rsidRPr="00C12E3B">
        <w:rPr>
          <w:rFonts w:ascii="Times New Roman" w:hAnsi="Times New Roman"/>
          <w:color w:val="333333"/>
          <w:sz w:val="28"/>
          <w:szCs w:val="28"/>
          <w:lang w:eastAsia="ru-RU"/>
        </w:rPr>
        <w:t>.</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Система экологического законодательства, руководствующаяся идеями основополагающих конституционных актов, включает две подсистемы:</w:t>
      </w:r>
    </w:p>
    <w:p w:rsidR="0067110F" w:rsidRPr="00C12E3B" w:rsidRDefault="0067110F" w:rsidP="00C12E3B">
      <w:pPr>
        <w:numPr>
          <w:ilvl w:val="0"/>
          <w:numId w:val="5"/>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природоохранное;</w:t>
      </w:r>
    </w:p>
    <w:p w:rsidR="0067110F" w:rsidRPr="00C12E3B" w:rsidRDefault="0067110F" w:rsidP="00C12E3B">
      <w:pPr>
        <w:numPr>
          <w:ilvl w:val="0"/>
          <w:numId w:val="5"/>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природоресурсное законодательство.</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В природоохранное законодательство входят Федеральный закон от 10 января </w:t>
      </w:r>
      <w:smartTag w:uri="urn:schemas-microsoft-com:office:smarttags" w:element="metricconverter">
        <w:smartTagPr>
          <w:attr w:name="ProductID" w:val="2002 г"/>
        </w:smartTagPr>
        <w:r w:rsidRPr="00C12E3B">
          <w:rPr>
            <w:rFonts w:ascii="Times New Roman" w:hAnsi="Times New Roman"/>
            <w:color w:val="333333"/>
            <w:sz w:val="28"/>
            <w:szCs w:val="28"/>
            <w:lang w:eastAsia="ru-RU"/>
          </w:rPr>
          <w:t>2002 г</w:t>
        </w:r>
      </w:smartTag>
      <w:r w:rsidRPr="00C12E3B">
        <w:rPr>
          <w:rFonts w:ascii="Times New Roman" w:hAnsi="Times New Roman"/>
          <w:color w:val="333333"/>
          <w:sz w:val="28"/>
          <w:szCs w:val="28"/>
          <w:lang w:eastAsia="ru-RU"/>
        </w:rPr>
        <w:t>. № 7-ФЗ «Об охране окружающей среды» и другие законодательные акты комплексного правового регулирования.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подсистему природоресурсного законодательства входят:</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Земельный кодекс РФ;</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Закон РФ от 21 февраля </w:t>
      </w:r>
      <w:smartTag w:uri="urn:schemas-microsoft-com:office:smarttags" w:element="metricconverter">
        <w:smartTagPr>
          <w:attr w:name="ProductID" w:val="1992 г"/>
        </w:smartTagPr>
        <w:r w:rsidRPr="00C12E3B">
          <w:rPr>
            <w:rFonts w:ascii="Times New Roman" w:hAnsi="Times New Roman"/>
            <w:color w:val="333333"/>
            <w:sz w:val="28"/>
            <w:szCs w:val="28"/>
            <w:lang w:eastAsia="ru-RU"/>
          </w:rPr>
          <w:t>1992 г</w:t>
        </w:r>
      </w:smartTag>
      <w:r w:rsidRPr="00C12E3B">
        <w:rPr>
          <w:rFonts w:ascii="Times New Roman" w:hAnsi="Times New Roman"/>
          <w:color w:val="333333"/>
          <w:sz w:val="28"/>
          <w:szCs w:val="28"/>
          <w:lang w:eastAsia="ru-RU"/>
        </w:rPr>
        <w:t>. № 2395-1 «О недрах»;</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Лесной кодекс РФ;</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Водный кодекс РФ;</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xml:space="preserve">Федеральный закон от 24 апреля </w:t>
      </w:r>
      <w:smartTag w:uri="urn:schemas-microsoft-com:office:smarttags" w:element="metricconverter">
        <w:smartTagPr>
          <w:attr w:name="ProductID" w:val="1995 г"/>
        </w:smartTagPr>
        <w:r w:rsidRPr="00C12E3B">
          <w:rPr>
            <w:rFonts w:ascii="Times New Roman" w:hAnsi="Times New Roman"/>
            <w:color w:val="333333"/>
            <w:sz w:val="28"/>
            <w:szCs w:val="28"/>
            <w:lang w:eastAsia="ru-RU"/>
          </w:rPr>
          <w:t>1995 г</w:t>
        </w:r>
      </w:smartTag>
      <w:r w:rsidRPr="00C12E3B">
        <w:rPr>
          <w:rFonts w:ascii="Times New Roman" w:hAnsi="Times New Roman"/>
          <w:color w:val="333333"/>
          <w:sz w:val="28"/>
          <w:szCs w:val="28"/>
          <w:lang w:eastAsia="ru-RU"/>
        </w:rPr>
        <w:t>. № 52-ФЗ «О животном мире»;</w:t>
      </w:r>
    </w:p>
    <w:p w:rsidR="0067110F" w:rsidRPr="00C12E3B" w:rsidRDefault="0067110F" w:rsidP="00C12E3B">
      <w:pPr>
        <w:numPr>
          <w:ilvl w:val="0"/>
          <w:numId w:val="6"/>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а также другие законодательные и нормативные акты субъектов РФ.</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Конституции РФ отражены основные положения экологической стратегии государства и главные направления укрепления экологического правопорядка. Конституция РФ вводит в научный оборот определение экологической деятельности человека в сфере взаимодействия общества и природы: природопользование, охрана окружающей среды, обеспечение экологической безопасности.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Центральное место среди экологических норм Конституции РФ занимает ч. 1 ст. 9, где указывается, что земля и другие природные ресурсы в Российской Федерации используются и охраняются как основа жизни и деятельности народов, проживающих на соответствующей территории.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 Конституции РФ есть две очень важные нормы, одна из которых (ст. 42) закрепляет право каждого человека на благоприятную окружающую среду, достоверную информацию о ее состоянии и на возмещение ущерба, причиненного его здоровью или имуществу, а другая провозглашает право граждан и юридических лиц на частную собственность на землю и другие природные ресурсы (ч. 2 ст. 9). Первая касается биологических начал человека, вторая — его материальных основ существования.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Конституция РФ также оформляет организационно-правовые взаимоотношения Федерации и субъектов Федерации. Согласно ст. 72 пользование, владение и распоряжение землей, недрами, водными и другими природными ресурсами, природопользование, охрана окружающей среды и обеспечение экологической безопасности являются совместной компетенцией Федерации и субъектов Федерации.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По предмету своего ведения Российская Федерация принимает федеральные законы, которые являются обязательными на территории всей страны. Субъекты Федерации имеют право на собственное регулирование экологических отношений, включая принятие законов и иных нормативных актов. Конституция РФ закрепляет общее правило: законы и иные правовые акты субъектов Федерации не должны противоречить федеральным законам. Положения Конституции РФ конкретизируются в источниках экологического права.</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окружающей среды» определяет правовые основы государственной политики в области охраны окружающей среды, обеспечивающие сбалансированное решение социально-экономических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нынешних и будущих поколений, укрепления правопорядка в области охраны окружающей среды и обеспечения экологической безопасности.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Федеральным законом «Об охране окружающей среды» закрепляются следующие правовые положения:</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основы управления в области охраны окружающей среды;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права и обязанности граждан, общественных и иных некоммерческих объединений в области охраны окружающей среды;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экономическое регулирование в области охраны окружающей среды;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нормирование в области охраны окружающей среды;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оценка воздействия на окружающую среду и экологическая экспертиза;</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требования в области охраны окружающей среды при осуществлении хозяйственной деятельности;</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зоны экологического бедствия, зоны чрезвычайных ситуаций;</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государственный мониторинг окружающей среды (государственный экологический мониторинг);</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контроль в области охраны окружающей среды (экологический контроль);</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научные исследования в области охраны окружающей среды;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основы формирования экологической культуры;</w:t>
      </w:r>
    </w:p>
    <w:p w:rsidR="0067110F" w:rsidRPr="00C12E3B" w:rsidRDefault="0067110F" w:rsidP="00C12E3B">
      <w:pPr>
        <w:numPr>
          <w:ilvl w:val="0"/>
          <w:numId w:val="7"/>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международное сотрудничество в области охраны окружающей среды.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Охрана здоровья и обеспечение благополучия человека — конечная цель охраны окружающей природной среды. Поэтому в законодательных актах, направленных на охрану здоровья граждан, экологические требования занимают ведущее место. В этом смысле источником экологического права служит Федеральный закон от 30 марта 1999 г. № 52-ФЗ «О санитарно-эпидемиологическом благополучии населения». Он регулирует санитарные отношения, связанные с охраной здоровья от неблагоприятного воздействия внешней среды — производственной, бытовой, природной. Экологические требования, выраженные в статьях Закона, одновременно являются и источниками экологического права. Например, на охрану здоровья и окружающей природной среды направлены нормы ст. 18 Закона о захоронении, переработке, обезвреживании и утилизации производственных и бытовых отходов и т. д.</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Другим источником экологического права служат Федеральный закон от 21 ноября 2011 года № 323-ФЗ «Об основах охраны здоровья граждан в Российской Федерации». В соответствии со ст. 18 указанного нормативного акта установлено, что: «Каждый имеет право на охрану здоровья. Право на охрану здоровья обеспечивается охраной окружающей среды…».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Правовые нормы по охране природы и рациональному природопользованию содержатся и в других актах природоресурсного законодательства России. К ним относятся Лесной кодекс РФ, Водный кодекс РФ, Федеральный закон «О животном мире» и др.</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Круг экологических вопросов, по которым могут издаваться указы и распоряжения Президента РФ, практически не ограничен. В их числе следует особо выделить Указ Президента РФ от 4 февраля 1994 г. № 238 «О государственной стратегии Российской Федерации по охране окружающей среды и обеспечению устойчивого развития».</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На основании и во исполнение Конституции РФ, федеральных законов, нормативных указов Президента РФ Правительство РФ издает постановления и распоряжения. В соответствии со ст. 114 Конституции РФ Правительство РФ обеспечивает проведение в Российской Федерации единой государственной политики в области науки, культуры, образования, здравоохранения, социального обеспечения, экологии.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Постановления Правительства РФ по вопросам экологии можно разбить на три группы:</w:t>
      </w:r>
    </w:p>
    <w:p w:rsidR="0067110F" w:rsidRPr="00C12E3B" w:rsidRDefault="0067110F" w:rsidP="00C12E3B">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К первой группе относятся те, которые принимаются во исполнение закона для конкретизации отдельных положений.</w:t>
      </w:r>
    </w:p>
    <w:p w:rsidR="0067110F" w:rsidRPr="00C12E3B" w:rsidRDefault="0067110F" w:rsidP="00C12E3B">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Вторая группа постановлений предназначена для определения компетенции органов управления и контроля.</w:t>
      </w:r>
    </w:p>
    <w:p w:rsidR="0067110F" w:rsidRPr="00C12E3B" w:rsidRDefault="0067110F" w:rsidP="00C12E3B">
      <w:pPr>
        <w:numPr>
          <w:ilvl w:val="0"/>
          <w:numId w:val="8"/>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Третья группа постановлений включает нормативно-правовые акты дальнейшего правового регулирования экологических отношений.</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Природоохранительные министерства и ведомства также наделяются правом издавать нормативные акты в рамках своей компетенции. Немаловажную роль играют нормативные правила – санитарные, строительные, технико-экономические, технологические и т. д. К ним относятся нормативы качества окружающей среды: нормы допустимой радиации, уровня шума, вибрации и т. д.</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Сфера компетенции субъектов Федерации определяется отраслевыми законодательными актами: по землепользованию — Земельным кодексом РФ, по недрам — Законом РФ «О недрах», водопользованию — Водным кодексом РФ, по использованию животного мира — Федеральным законом «О животном мире», по окружающей природной среде — Федеральным законом «Об охране окружающей среды».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Помимо специальных нормативно-правовых актов экологического содержания в последние годы широко используется экологизация нормативных актов, регулирующих экономическую, хозяйственную и административную деятельность предприятий. Под экологизацией понимают внедрение экологических требований в нормативно-правовые акты неэкологического содержания. Необходимость такого процесса объясняется тем, что экологические законы не всегда могут напрямую касаться хозяйствующих субъектов, занятых в различной сфере производства. Так, Закон РФ от 7 февраля 1992 г. № 2300-1 «О защите прав потребителей» (ст. 7) дает право потребителю требовать, чтобы товары были безопасны для его жизни. Он также дает право органам управления на приостановление реализации товаров, если создается угроза здоровью граждан либо состоянию окружающей среды.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в области охраны окружающей среды, природопользования и экологической безопасности</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Правовые отношения в области охраны окружающей среды, обеспечения экологической безопасности, рационального природопользования определены в следующих действующих законах, которые условно можно разбить на четыре группы.</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Общее законодательство:</w:t>
      </w:r>
    </w:p>
    <w:p w:rsidR="0067110F" w:rsidRPr="00C12E3B" w:rsidRDefault="0067110F" w:rsidP="00C12E3B">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окружающей среды» от 10.01.2002 № 7-ФЗ.</w:t>
      </w:r>
    </w:p>
    <w:p w:rsidR="0067110F" w:rsidRPr="00C12E3B" w:rsidRDefault="0067110F" w:rsidP="00C12E3B">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экологической экспертизе» от 23.11.95 № 174-ФЗ.</w:t>
      </w:r>
    </w:p>
    <w:p w:rsidR="0067110F" w:rsidRPr="00C12E3B" w:rsidRDefault="0067110F" w:rsidP="00C12E3B">
      <w:pPr>
        <w:numPr>
          <w:ilvl w:val="0"/>
          <w:numId w:val="9"/>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гидрометеорологической службе» от 09.07.98 № 113-ФЗ.</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об экологической безопасности:</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санитарно-эпидемиологическом благополучии населения» от 30.03.99 № 52-ФЗ.</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защите населения территорий от чрезвычайных ситуаций природного и техногенного характера» от 21.12.94 №б8-ФЗ.</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ратификации Базельской конвенции о контроле за трансграничной перевозкой опасных отходов и их удалением» от 25.11.94 № 49-ФЗ.</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безопасном обращении с пестицидами и агрохимикатами» от 19.07.97 № 109-ФЗ.</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безопасности гидротехнических сооружений» от 21.07.97 № 117-ФЗ.</w:t>
      </w:r>
    </w:p>
    <w:p w:rsidR="0067110F" w:rsidRPr="00C12E3B" w:rsidRDefault="0067110F" w:rsidP="00C12E3B">
      <w:pPr>
        <w:numPr>
          <w:ilvl w:val="0"/>
          <w:numId w:val="10"/>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отходах производства и потребления» от 24.06.98 № 89-ФЗ.</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о радиационной безопасности населения:</w:t>
      </w:r>
    </w:p>
    <w:p w:rsidR="0067110F" w:rsidRPr="00C12E3B" w:rsidRDefault="0067110F" w:rsidP="00C12E3B">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использовании атомной энергии» от 21.11.95 № 170-ФЗ.</w:t>
      </w:r>
    </w:p>
    <w:p w:rsidR="0067110F" w:rsidRPr="00C12E3B" w:rsidRDefault="0067110F" w:rsidP="00C12E3B">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радиационной безопасности населения» от 09.01.96 № 3-ФЗ.</w:t>
      </w:r>
    </w:p>
    <w:p w:rsidR="0067110F" w:rsidRPr="00C12E3B" w:rsidRDefault="0067110F" w:rsidP="00C12E3B">
      <w:pPr>
        <w:numPr>
          <w:ilvl w:val="0"/>
          <w:numId w:val="11"/>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специальных экологических программах реабилитации радиационно загрязненных участков территории» от 10.07.01 № 92-ФЗ.</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Законодательство  об использовании и сохранении природных ресурсов:</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атмосферного воздуха» от 04.09.99 № 96-ФЗ.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Водный кодекс Российской Федерации.</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охране озера Байкал» от 01.05.99 № 94-ФЗ.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Земельный кодекс Российской Федерации.</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мелиорации земель» от 10.01.96 № 4-ФЗ.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Закон РФ «О недрах» от 21.02.92 N 2395-I.</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Лесной кодекс Российской Федерации.</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природных лечебных ресурсах, лечебно-оздоровительных местностях и курортах» от 23.12.95 № 26-ФЗ.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«Об особо охраняемых природных территориях» от 14.03.95 № 33-ФЗ.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животном мире» от 24.04.95 № 52-ФЗ.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внутренних морских водах, территориальном море и прилежащей зоне Российской Федерации» от 31.07.98 № 155-ФЗ.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континентальном шельфе Российской Федерации» от 30.11.95 № 187-ФЗ.</w:t>
      </w:r>
    </w:p>
    <w:p w:rsidR="0067110F" w:rsidRPr="00C12E3B" w:rsidRDefault="0067110F" w:rsidP="00C12E3B">
      <w:pPr>
        <w:numPr>
          <w:ilvl w:val="0"/>
          <w:numId w:val="12"/>
        </w:numPr>
        <w:shd w:val="clear" w:color="auto" w:fill="FFFFFF"/>
        <w:spacing w:before="100" w:beforeAutospacing="1" w:after="100" w:afterAutospacing="1"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Федеральный закон «О территориях традиционного природопользования коренных малочисленных народов Севера, Сибири и Дальнего Востока Российской Федерации» от 07.05.01 № 49-ФЗ.</w:t>
      </w:r>
    </w:p>
    <w:p w:rsidR="0067110F" w:rsidRPr="00C12E3B" w:rsidRDefault="0067110F" w:rsidP="00C12E3B">
      <w:pPr>
        <w:shd w:val="clear" w:color="auto" w:fill="FFFFFF"/>
        <w:spacing w:after="150" w:line="240" w:lineRule="auto"/>
        <w:jc w:val="both"/>
        <w:rPr>
          <w:rFonts w:ascii="Times New Roman" w:hAnsi="Times New Roman"/>
          <w:color w:val="333333"/>
          <w:sz w:val="28"/>
          <w:szCs w:val="28"/>
          <w:lang w:eastAsia="ru-RU"/>
        </w:rPr>
      </w:pPr>
      <w:r w:rsidRPr="00C12E3B">
        <w:rPr>
          <w:rFonts w:ascii="Times New Roman" w:hAnsi="Times New Roman"/>
          <w:color w:val="333333"/>
          <w:sz w:val="28"/>
          <w:szCs w:val="28"/>
          <w:lang w:eastAsia="ru-RU"/>
        </w:rPr>
        <w:t> </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rStyle w:val="Strong"/>
          <w:color w:val="333333"/>
          <w:sz w:val="28"/>
          <w:szCs w:val="28"/>
        </w:rPr>
        <w:t>Экологическая ситуация в сельском поселении Визиндор.</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Экологическая ситуация в сельском поселении Визиндор в целом благоприятна. На территории поселения отсутствуют высокотоксичные производства, уровень загрязнения воды, почвы и воздуха не превышает предельно допустимых нормативов.</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Основными источниками загрязнения окружающей среды в поселении являются автотранспорт, твёрдые коммунальные отходы, отходы от деятельности индивидуальных предпринимателей при производстве пиломатериалов.</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 xml:space="preserve">С момента реализации в регионе реформы системы обращения с твердыми коммунальными отходами улучшилась работа по сбору, утилизации и захоронения отходов. Администрацией СП «Визиндор» ведется постоянный мониторинг по обращению с твердыми коммунальными отходами на территории поселения. </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В настоящее время, на территории поселения снижается количество образуемых несанкционированных свалок отходов, что стало результатом повышения экологической грамотности жителей сельского поселения  и проводимой Администрацией комплексной работы по благоустройству и развитию территории поселения. Каждый год администрацией поселения совместно с населением проводятся экологические акции - «Речная лента», «Марш парков» и «Зеленая весна».</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 </w:t>
      </w:r>
    </w:p>
    <w:p w:rsidR="0067110F" w:rsidRPr="00C12E3B" w:rsidRDefault="0067110F" w:rsidP="00C12E3B">
      <w:pPr>
        <w:pStyle w:val="NormalWeb"/>
        <w:shd w:val="clear" w:color="auto" w:fill="FFFFFF"/>
        <w:spacing w:before="0" w:beforeAutospacing="0" w:after="150" w:afterAutospacing="0"/>
        <w:jc w:val="both"/>
        <w:rPr>
          <w:color w:val="333333"/>
          <w:sz w:val="28"/>
          <w:szCs w:val="28"/>
        </w:rPr>
      </w:pPr>
      <w:r w:rsidRPr="00C12E3B">
        <w:rPr>
          <w:color w:val="333333"/>
          <w:sz w:val="28"/>
          <w:szCs w:val="28"/>
        </w:rPr>
        <w:t>Уважаемые граждане, берегите природу и её экологическое состояние!</w:t>
      </w:r>
    </w:p>
    <w:p w:rsidR="0067110F" w:rsidRPr="00C12E3B" w:rsidRDefault="0067110F" w:rsidP="00C12E3B">
      <w:pPr>
        <w:jc w:val="both"/>
        <w:rPr>
          <w:rFonts w:ascii="Times New Roman" w:hAnsi="Times New Roman"/>
          <w:sz w:val="28"/>
          <w:szCs w:val="28"/>
        </w:rPr>
      </w:pPr>
    </w:p>
    <w:sectPr w:rsidR="0067110F" w:rsidRPr="00C12E3B" w:rsidSect="005C46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537"/>
    <w:multiLevelType w:val="multilevel"/>
    <w:tmpl w:val="60EC9D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764148A"/>
    <w:multiLevelType w:val="multilevel"/>
    <w:tmpl w:val="6156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6C28C8"/>
    <w:multiLevelType w:val="multilevel"/>
    <w:tmpl w:val="512A14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05501E3"/>
    <w:multiLevelType w:val="multilevel"/>
    <w:tmpl w:val="439294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EAB1FCC"/>
    <w:multiLevelType w:val="multilevel"/>
    <w:tmpl w:val="F4749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CE0687"/>
    <w:multiLevelType w:val="multilevel"/>
    <w:tmpl w:val="149A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14129"/>
    <w:multiLevelType w:val="multilevel"/>
    <w:tmpl w:val="100E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113227"/>
    <w:multiLevelType w:val="multilevel"/>
    <w:tmpl w:val="A0F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36634E"/>
    <w:multiLevelType w:val="multilevel"/>
    <w:tmpl w:val="E7CAC2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6486B71"/>
    <w:multiLevelType w:val="multilevel"/>
    <w:tmpl w:val="223C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876BF0"/>
    <w:multiLevelType w:val="multilevel"/>
    <w:tmpl w:val="42A2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C45FDB"/>
    <w:multiLevelType w:val="multilevel"/>
    <w:tmpl w:val="5288C6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0"/>
  </w:num>
  <w:num w:numId="3">
    <w:abstractNumId w:val="1"/>
  </w:num>
  <w:num w:numId="4">
    <w:abstractNumId w:val="0"/>
  </w:num>
  <w:num w:numId="5">
    <w:abstractNumId w:val="5"/>
  </w:num>
  <w:num w:numId="6">
    <w:abstractNumId w:val="4"/>
  </w:num>
  <w:num w:numId="7">
    <w:abstractNumId w:val="7"/>
  </w:num>
  <w:num w:numId="8">
    <w:abstractNumId w:val="9"/>
  </w:num>
  <w:num w:numId="9">
    <w:abstractNumId w:val="11"/>
  </w:num>
  <w:num w:numId="10">
    <w:abstractNumId w:val="8"/>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E28"/>
    <w:rsid w:val="0000055C"/>
    <w:rsid w:val="0034479C"/>
    <w:rsid w:val="00456785"/>
    <w:rsid w:val="00514255"/>
    <w:rsid w:val="005C4682"/>
    <w:rsid w:val="0067110F"/>
    <w:rsid w:val="007F7CA6"/>
    <w:rsid w:val="00C12E3B"/>
    <w:rsid w:val="00DD0E28"/>
    <w:rsid w:val="00F17B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682"/>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DD0E28"/>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DD0E28"/>
    <w:rPr>
      <w:rFonts w:cs="Times New Roman"/>
      <w:b/>
      <w:bCs/>
    </w:rPr>
  </w:style>
</w:styles>
</file>

<file path=word/webSettings.xml><?xml version="1.0" encoding="utf-8"?>
<w:webSettings xmlns:r="http://schemas.openxmlformats.org/officeDocument/2006/relationships" xmlns:w="http://schemas.openxmlformats.org/wordprocessingml/2006/main">
  <w:divs>
    <w:div w:id="1471945978">
      <w:marLeft w:val="0"/>
      <w:marRight w:val="0"/>
      <w:marTop w:val="0"/>
      <w:marBottom w:val="0"/>
      <w:divBdr>
        <w:top w:val="none" w:sz="0" w:space="0" w:color="auto"/>
        <w:left w:val="none" w:sz="0" w:space="0" w:color="auto"/>
        <w:bottom w:val="none" w:sz="0" w:space="0" w:color="auto"/>
        <w:right w:val="none" w:sz="0" w:space="0" w:color="auto"/>
      </w:divBdr>
      <w:divsChild>
        <w:div w:id="1471945979">
          <w:marLeft w:val="0"/>
          <w:marRight w:val="0"/>
          <w:marTop w:val="600"/>
          <w:marBottom w:val="300"/>
          <w:divBdr>
            <w:top w:val="none" w:sz="0" w:space="0" w:color="auto"/>
            <w:left w:val="none" w:sz="0" w:space="0" w:color="auto"/>
            <w:bottom w:val="single" w:sz="6" w:space="7" w:color="EEEEEE"/>
            <w:right w:val="none" w:sz="0" w:space="0" w:color="auto"/>
          </w:divBdr>
        </w:div>
      </w:divsChild>
    </w:div>
    <w:div w:id="1471945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9</Pages>
  <Words>2630</Words>
  <Characters>14995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cp:lastModifiedBy>
  <cp:revision>8</cp:revision>
  <dcterms:created xsi:type="dcterms:W3CDTF">2021-12-17T08:51:00Z</dcterms:created>
  <dcterms:modified xsi:type="dcterms:W3CDTF">2021-12-24T08:38:00Z</dcterms:modified>
</cp:coreProperties>
</file>